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838" w:rsidRPr="00982838" w:rsidRDefault="00982838" w:rsidP="00982838">
      <w:pPr>
        <w:jc w:val="center"/>
        <w:rPr>
          <w:b/>
          <w:sz w:val="28"/>
          <w:szCs w:val="28"/>
        </w:rPr>
      </w:pPr>
      <w:r w:rsidRPr="00982838">
        <w:rPr>
          <w:b/>
          <w:sz w:val="28"/>
          <w:szCs w:val="28"/>
        </w:rPr>
        <w:t>Договор публичной оферты на оказание услуги по дистанционному открытию подъездной двери</w:t>
      </w:r>
    </w:p>
    <w:p w:rsidR="00982838" w:rsidRDefault="00982838" w:rsidP="00982838">
      <w:r>
        <w:t xml:space="preserve">ООО Технический центр «Территория безопасности», в лице генерального директора Бауман Ю.В., действующей на основании Устава, именуемое в дальнейшем «Исполнитель», настоящим предлагает физическим лицам, проживающим в районах Куркино и </w:t>
      </w:r>
      <w:proofErr w:type="spellStart"/>
      <w:r>
        <w:t>Хорошёво</w:t>
      </w:r>
      <w:r>
        <w:rPr>
          <w:rFonts w:ascii="MS Gothic" w:hAnsi="MS Gothic" w:cs="MS Gothic"/>
        </w:rPr>
        <w:t>‑</w:t>
      </w:r>
      <w:r>
        <w:rPr>
          <w:rFonts w:ascii="Calibri" w:hAnsi="Calibri" w:cs="Calibri"/>
        </w:rPr>
        <w:t>Мнёвники</w:t>
      </w:r>
      <w:proofErr w:type="spellEnd"/>
      <w:r>
        <w:t xml:space="preserve">, </w:t>
      </w:r>
      <w:r>
        <w:rPr>
          <w:rFonts w:ascii="Calibri" w:hAnsi="Calibri" w:cs="Calibri"/>
        </w:rPr>
        <w:t>име</w:t>
      </w:r>
      <w:r>
        <w:t>нуемым в дальнейшем «Заказчик», заключить договор на оказание услуги на изложенных ниже условиях.</w:t>
      </w:r>
    </w:p>
    <w:p w:rsidR="00982838" w:rsidRDefault="00982838" w:rsidP="00982838">
      <w:r>
        <w:t>1. Предмет договора</w:t>
      </w:r>
    </w:p>
    <w:p w:rsidR="00982838" w:rsidRDefault="00982838" w:rsidP="00982838">
      <w:r>
        <w:t>1.1. Исполнитель обязуется оказывать Заказчику услугу по дистанционному открытию подъездной двери с использованием телефона (далее — «Услуга»), а Заказчик обязуется оплачивать Услугу в порядке и на условиях, предусмотренных настоящим договором.</w:t>
      </w:r>
    </w:p>
    <w:p w:rsidR="00982838" w:rsidRDefault="00982838" w:rsidP="00982838">
      <w:r>
        <w:t xml:space="preserve">1.2. Услуга предоставляется в отношении запирающих устройств, обслуживаемых Исполнителем и ООО ПТЦ «Дом-инжиниринг», расположенных по адресам в районах Куркино и </w:t>
      </w:r>
      <w:proofErr w:type="spellStart"/>
      <w:r>
        <w:t>Хорошёво</w:t>
      </w:r>
      <w:r>
        <w:rPr>
          <w:rFonts w:ascii="MS Gothic" w:hAnsi="MS Gothic" w:cs="MS Gothic"/>
        </w:rPr>
        <w:t>‑</w:t>
      </w:r>
      <w:r>
        <w:rPr>
          <w:rFonts w:ascii="Calibri" w:hAnsi="Calibri" w:cs="Calibri"/>
        </w:rPr>
        <w:t>Мнёвники</w:t>
      </w:r>
      <w:proofErr w:type="spellEnd"/>
      <w:r>
        <w:t>.</w:t>
      </w:r>
    </w:p>
    <w:p w:rsidR="00982838" w:rsidRDefault="00982838" w:rsidP="00982838">
      <w:r>
        <w:t>2. Стоимость и порядок оплаты</w:t>
      </w:r>
    </w:p>
    <w:p w:rsidR="00982838" w:rsidRDefault="00982838" w:rsidP="00982838">
      <w:r>
        <w:t>2.1. Стоимость Услуги составляет от 25 до 50 рублей в месяц за каждый телефон, подключённый к Услуге. Конкретная стоимость определяется в зависимости от технических и организационных особенностей обслуживания запирающего устройства по адресу проживания Заказчика.</w:t>
      </w:r>
    </w:p>
    <w:p w:rsidR="00982838" w:rsidRDefault="00982838" w:rsidP="00982838">
      <w:r>
        <w:t>2.2. Заказчик вправе оплатить Услугу:</w:t>
      </w:r>
    </w:p>
    <w:p w:rsidR="00982838" w:rsidRDefault="00982838" w:rsidP="00982838">
      <w:proofErr w:type="gramStart"/>
      <w:r>
        <w:t>помесячно</w:t>
      </w:r>
      <w:proofErr w:type="gramEnd"/>
      <w:r>
        <w:t>; или за длительный период (квартал, полгода, год и т. д.).</w:t>
      </w:r>
    </w:p>
    <w:p w:rsidR="00982838" w:rsidRDefault="00982838" w:rsidP="00982838">
      <w:r>
        <w:t>2.3. Оплата производится путём перечисления денежных средст</w:t>
      </w:r>
      <w:r w:rsidR="00D40674">
        <w:t>в на расчётный счёт Исполнителя.</w:t>
      </w:r>
    </w:p>
    <w:p w:rsidR="00982838" w:rsidRDefault="00982838" w:rsidP="00982838">
      <w:r>
        <w:t>2.4. Обязательства Заказчика по оплате считаются исполненными с момента зачисления денежных средств на расчётный счёт Исполнителя.</w:t>
      </w:r>
    </w:p>
    <w:p w:rsidR="00982838" w:rsidRDefault="00982838" w:rsidP="00982838">
      <w:r>
        <w:t xml:space="preserve">2.5. При осуществлении расчётов Исполнитель </w:t>
      </w:r>
      <w:r w:rsidR="007B2EB3">
        <w:t>действует</w:t>
      </w:r>
      <w:r>
        <w:t xml:space="preserve"> </w:t>
      </w:r>
      <w:r>
        <w:rPr>
          <w:rFonts w:ascii="Calibri" w:hAnsi="Calibri" w:cs="Calibri"/>
        </w:rPr>
        <w:t>в</w:t>
      </w:r>
      <w:r>
        <w:t xml:space="preserve"> </w:t>
      </w:r>
      <w:r>
        <w:rPr>
          <w:rFonts w:ascii="Calibri" w:hAnsi="Calibri" w:cs="Calibri"/>
        </w:rPr>
        <w:t>соответствии</w:t>
      </w:r>
      <w:r>
        <w:t xml:space="preserve"> </w:t>
      </w:r>
      <w:r>
        <w:rPr>
          <w:rFonts w:ascii="Calibri" w:hAnsi="Calibri" w:cs="Calibri"/>
        </w:rPr>
        <w:t>с</w:t>
      </w:r>
      <w:r>
        <w:t xml:space="preserve"> </w:t>
      </w:r>
      <w:r>
        <w:rPr>
          <w:rFonts w:ascii="Calibri" w:hAnsi="Calibri" w:cs="Calibri"/>
        </w:rPr>
        <w:t>требованиями</w:t>
      </w:r>
      <w:r>
        <w:t xml:space="preserve"> </w:t>
      </w:r>
      <w:r>
        <w:rPr>
          <w:rFonts w:ascii="Calibri" w:hAnsi="Calibri" w:cs="Calibri"/>
        </w:rPr>
        <w:t>Федерального</w:t>
      </w:r>
      <w:r>
        <w:t xml:space="preserve"> </w:t>
      </w:r>
      <w:r>
        <w:rPr>
          <w:rFonts w:ascii="Calibri" w:hAnsi="Calibri" w:cs="Calibri"/>
        </w:rPr>
        <w:t>закона</w:t>
      </w:r>
      <w:r>
        <w:t xml:space="preserve"> </w:t>
      </w:r>
      <w:r>
        <w:rPr>
          <w:rFonts w:ascii="Calibri" w:hAnsi="Calibri" w:cs="Calibri"/>
        </w:rPr>
        <w:t>от</w:t>
      </w:r>
      <w:r>
        <w:t xml:space="preserve"> 22.05.2003 </w:t>
      </w:r>
      <w:r>
        <w:rPr>
          <w:rFonts w:ascii="Calibri" w:hAnsi="Calibri" w:cs="Calibri"/>
        </w:rPr>
        <w:t>№ </w:t>
      </w:r>
      <w:r>
        <w:t>54</w:t>
      </w:r>
      <w:r>
        <w:rPr>
          <w:rFonts w:ascii="MS Gothic" w:hAnsi="MS Gothic" w:cs="MS Gothic"/>
        </w:rPr>
        <w:t>‑</w:t>
      </w:r>
      <w:r>
        <w:rPr>
          <w:rFonts w:ascii="Calibri" w:hAnsi="Calibri" w:cs="Calibri"/>
        </w:rPr>
        <w:t>ФЗ</w:t>
      </w:r>
      <w:r>
        <w:t xml:space="preserve">. </w:t>
      </w:r>
      <w:r>
        <w:rPr>
          <w:rFonts w:ascii="Calibri" w:hAnsi="Calibri" w:cs="Calibri"/>
        </w:rPr>
        <w:t>Фискальные</w:t>
      </w:r>
      <w:r>
        <w:t xml:space="preserve"> </w:t>
      </w:r>
      <w:r>
        <w:rPr>
          <w:rFonts w:ascii="Calibri" w:hAnsi="Calibri" w:cs="Calibri"/>
        </w:rPr>
        <w:t>данные</w:t>
      </w:r>
      <w:r>
        <w:t xml:space="preserve"> </w:t>
      </w:r>
      <w:r>
        <w:rPr>
          <w:rFonts w:ascii="Calibri" w:hAnsi="Calibri" w:cs="Calibri"/>
        </w:rPr>
        <w:t>передаются</w:t>
      </w:r>
      <w:r>
        <w:t xml:space="preserve"> </w:t>
      </w:r>
      <w:r>
        <w:rPr>
          <w:rFonts w:ascii="Calibri" w:hAnsi="Calibri" w:cs="Calibri"/>
        </w:rPr>
        <w:t>в</w:t>
      </w:r>
      <w:r>
        <w:t xml:space="preserve"> </w:t>
      </w:r>
      <w:r>
        <w:rPr>
          <w:rFonts w:ascii="Calibri" w:hAnsi="Calibri" w:cs="Calibri"/>
        </w:rPr>
        <w:t>Фед</w:t>
      </w:r>
      <w:r>
        <w:t>еральную налоговую службу (ФНС) через оператора фискальных данных (ОФД).</w:t>
      </w:r>
    </w:p>
    <w:p w:rsidR="00982838" w:rsidRDefault="00982838" w:rsidP="00982838">
      <w:r>
        <w:t>2.6. По письменному соглашению между Заказчиком и управляющей компанией платежи за Услугу могут включаться в единый платёжный документ (ЕПД). Для этого Заказчик обязан направить Исполнителю письменное уведомление с указанием реквизитов управляющей компании и номера лицевого счёта в ЕПД. Включение услуги в ЕПД не изменяет сути договорных отношений между Исполнителем и Заказчиком.</w:t>
      </w:r>
    </w:p>
    <w:p w:rsidR="00982838" w:rsidRDefault="00982838" w:rsidP="00982838">
      <w:r>
        <w:t>3. Сроки действия договора и порядок его продления</w:t>
      </w:r>
    </w:p>
    <w:p w:rsidR="00982838" w:rsidRDefault="00982838" w:rsidP="00982838">
      <w:r>
        <w:t>3.1. Настоящий договор вступает в силу с момента акцепта (принятия условий) Заказчиком и действует до 31 декабря 2026 года.</w:t>
      </w:r>
    </w:p>
    <w:p w:rsidR="00982838" w:rsidRDefault="00982838" w:rsidP="00982838">
      <w:r>
        <w:t>3.2. Договор автоматически продлевается на каждый последующий календарный год при отсутствии письменного уведомления об отказе от Услуги от Заказчика, направленного Исполнителю не позднее чем за 10 календарных дней до окончания текущего срока действия договора.</w:t>
      </w:r>
    </w:p>
    <w:p w:rsidR="007B2EB3" w:rsidRDefault="007B2EB3" w:rsidP="00982838"/>
    <w:p w:rsidR="00982838" w:rsidRDefault="00982838" w:rsidP="00982838">
      <w:r>
        <w:t>4. Порядок оказания услуги</w:t>
      </w:r>
    </w:p>
    <w:p w:rsidR="00982838" w:rsidRDefault="00982838" w:rsidP="00982838">
      <w:r>
        <w:lastRenderedPageBreak/>
        <w:t>4.1. Подключение к Услуге осуществляется после:</w:t>
      </w:r>
    </w:p>
    <w:p w:rsidR="00982838" w:rsidRDefault="00982838" w:rsidP="00982838">
      <w:r>
        <w:t>подачи Заказчиком заявки  согласованным способом;</w:t>
      </w:r>
    </w:p>
    <w:p w:rsidR="00982838" w:rsidRDefault="00982838" w:rsidP="00982838">
      <w:proofErr w:type="gramStart"/>
      <w:r>
        <w:t>подтверждения</w:t>
      </w:r>
      <w:proofErr w:type="gramEnd"/>
      <w:r>
        <w:t xml:space="preserve"> Исполнителем возможности оказания Услуги по адресу проживания Заказчика;</w:t>
      </w:r>
    </w:p>
    <w:p w:rsidR="00982838" w:rsidRDefault="00982838" w:rsidP="00982838">
      <w:proofErr w:type="gramStart"/>
      <w:r>
        <w:t>внесения</w:t>
      </w:r>
      <w:proofErr w:type="gramEnd"/>
      <w:r>
        <w:t xml:space="preserve"> Заказчиком авансового платежа за первый период оказания Услуги.</w:t>
      </w:r>
    </w:p>
    <w:p w:rsidR="00982838" w:rsidRDefault="00982838" w:rsidP="00982838">
      <w:r>
        <w:t>4.2. Исполнитель предоставляет Заказчику доступ к системе дистанционного открытия подъездной двери посредством отправки учётных данных на указанный Заказчиком номер телефона или адрес электронной почты.</w:t>
      </w:r>
    </w:p>
    <w:p w:rsidR="00982838" w:rsidRDefault="00982838" w:rsidP="00982838">
      <w:r>
        <w:t>4.3. Исполнитель обязуется обеспечивать работоспособность системы дистанционного открытия в соответствии с техническими возможностями оборудования.</w:t>
      </w:r>
    </w:p>
    <w:p w:rsidR="00982838" w:rsidRDefault="00982838" w:rsidP="00982838">
      <w:r>
        <w:t>5. Права и обязанности сторон</w:t>
      </w:r>
    </w:p>
    <w:p w:rsidR="00982838" w:rsidRDefault="00982838" w:rsidP="00982838">
      <w:r>
        <w:t>5.1. Обязанности Исполнителя:</w:t>
      </w:r>
    </w:p>
    <w:p w:rsidR="00982838" w:rsidRDefault="00982838" w:rsidP="00982838">
      <w:proofErr w:type="gramStart"/>
      <w:r>
        <w:t>оказывать</w:t>
      </w:r>
      <w:proofErr w:type="gramEnd"/>
      <w:r>
        <w:t xml:space="preserve"> Услугу надлежащим образом в соответствии с условиями договора;</w:t>
      </w:r>
    </w:p>
    <w:p w:rsidR="00982838" w:rsidRDefault="00982838" w:rsidP="00982838">
      <w:proofErr w:type="gramStart"/>
      <w:r>
        <w:t>обеспечивать</w:t>
      </w:r>
      <w:proofErr w:type="gramEnd"/>
      <w:r>
        <w:t xml:space="preserve"> конфиденциальность учётных данных Заказчика;</w:t>
      </w:r>
    </w:p>
    <w:p w:rsidR="00982838" w:rsidRDefault="00982838" w:rsidP="00982838">
      <w:proofErr w:type="gramStart"/>
      <w:r>
        <w:t>информировать</w:t>
      </w:r>
      <w:proofErr w:type="gramEnd"/>
      <w:r>
        <w:t xml:space="preserve"> Заказчика об изменениях стоимости Услуги не менее чем за 30 календарных дней до вступления изменений в силу;</w:t>
      </w:r>
    </w:p>
    <w:p w:rsidR="00982838" w:rsidRDefault="00982838" w:rsidP="00982838">
      <w:proofErr w:type="gramStart"/>
      <w:r>
        <w:t>оперативно</w:t>
      </w:r>
      <w:proofErr w:type="gramEnd"/>
      <w:r>
        <w:t xml:space="preserve"> устранять технические неисправности, препятствующие оказанию Услуги.</w:t>
      </w:r>
    </w:p>
    <w:p w:rsidR="00982838" w:rsidRDefault="00982838" w:rsidP="00982838">
      <w:r>
        <w:t>5.2. Обязанности Заказчика:</w:t>
      </w:r>
    </w:p>
    <w:p w:rsidR="00982838" w:rsidRDefault="00982838" w:rsidP="00982838">
      <w:proofErr w:type="gramStart"/>
      <w:r>
        <w:t>своевременно</w:t>
      </w:r>
      <w:proofErr w:type="gramEnd"/>
      <w:r>
        <w:t xml:space="preserve"> вносить плату за Услугу;</w:t>
      </w:r>
    </w:p>
    <w:p w:rsidR="00982838" w:rsidRDefault="00982838" w:rsidP="00982838">
      <w:proofErr w:type="gramStart"/>
      <w:r>
        <w:t>не</w:t>
      </w:r>
      <w:proofErr w:type="gramEnd"/>
      <w:r>
        <w:t xml:space="preserve"> передавать учётные данные третьим лицам;</w:t>
      </w:r>
    </w:p>
    <w:p w:rsidR="00982838" w:rsidRDefault="00982838" w:rsidP="00982838">
      <w:proofErr w:type="gramStart"/>
      <w:r>
        <w:t>незамедлительно</w:t>
      </w:r>
      <w:proofErr w:type="gramEnd"/>
      <w:r>
        <w:t xml:space="preserve"> уведомлять Исполнителя о потере доступа к учётной записи или подозрении на несанкционированное использование учётных данных;</w:t>
      </w:r>
    </w:p>
    <w:p w:rsidR="00982838" w:rsidRDefault="00982838" w:rsidP="00982838">
      <w:proofErr w:type="gramStart"/>
      <w:r>
        <w:t>использовать</w:t>
      </w:r>
      <w:proofErr w:type="gramEnd"/>
      <w:r>
        <w:t xml:space="preserve"> Услугу исключительно в личных, не коммерческих целях.</w:t>
      </w:r>
    </w:p>
    <w:p w:rsidR="00982838" w:rsidRDefault="00982838" w:rsidP="00982838">
      <w:r>
        <w:t>5.3. Права Заказчика:</w:t>
      </w:r>
    </w:p>
    <w:p w:rsidR="00982838" w:rsidRDefault="00982838" w:rsidP="00982838">
      <w:proofErr w:type="gramStart"/>
      <w:r>
        <w:t>получать</w:t>
      </w:r>
      <w:proofErr w:type="gramEnd"/>
      <w:r>
        <w:t xml:space="preserve"> Услугу в полном объёме в соответствии с договором;</w:t>
      </w:r>
    </w:p>
    <w:p w:rsidR="00982838" w:rsidRDefault="00982838" w:rsidP="00982838">
      <w:proofErr w:type="gramStart"/>
      <w:r>
        <w:t>отказаться</w:t>
      </w:r>
      <w:proofErr w:type="gramEnd"/>
      <w:r>
        <w:t xml:space="preserve"> от Услуги, направив Исполнителю письменное уведомление в установленном порядке;</w:t>
      </w:r>
    </w:p>
    <w:p w:rsidR="00982838" w:rsidRDefault="00982838" w:rsidP="00982838">
      <w:proofErr w:type="gramStart"/>
      <w:r>
        <w:t>получать</w:t>
      </w:r>
      <w:proofErr w:type="gramEnd"/>
      <w:r>
        <w:t xml:space="preserve"> информацию о состоянии своего лицевого счёта и истории оплат.</w:t>
      </w:r>
    </w:p>
    <w:p w:rsidR="00982838" w:rsidRDefault="00982838" w:rsidP="00982838">
      <w:r>
        <w:t>6. Ответственность сторон</w:t>
      </w:r>
    </w:p>
    <w:p w:rsidR="00982838" w:rsidRDefault="00982838" w:rsidP="00982838">
      <w: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982838" w:rsidRDefault="00982838" w:rsidP="00982838">
      <w:r>
        <w:t>6.2. Исполнитель не несёт ответственности за:</w:t>
      </w:r>
    </w:p>
    <w:p w:rsidR="00982838" w:rsidRDefault="00982838" w:rsidP="00982838">
      <w:proofErr w:type="gramStart"/>
      <w:r>
        <w:t>невозможность</w:t>
      </w:r>
      <w:proofErr w:type="gramEnd"/>
      <w:r>
        <w:t xml:space="preserve"> оказания Услуги вследствие форс</w:t>
      </w:r>
      <w:r>
        <w:rPr>
          <w:rFonts w:ascii="MS Gothic" w:hAnsi="MS Gothic" w:cs="MS Gothic"/>
        </w:rPr>
        <w:t>‑</w:t>
      </w:r>
      <w:r>
        <w:rPr>
          <w:rFonts w:ascii="Calibri" w:hAnsi="Calibri" w:cs="Calibri"/>
        </w:rPr>
        <w:t>мажорных</w:t>
      </w:r>
      <w:r>
        <w:t xml:space="preserve"> </w:t>
      </w:r>
      <w:r>
        <w:rPr>
          <w:rFonts w:ascii="Calibri" w:hAnsi="Calibri" w:cs="Calibri"/>
        </w:rPr>
        <w:t>обстоятельств</w:t>
      </w:r>
      <w:r>
        <w:t xml:space="preserve"> (</w:t>
      </w:r>
      <w:r>
        <w:rPr>
          <w:rFonts w:ascii="Calibri" w:hAnsi="Calibri" w:cs="Calibri"/>
        </w:rPr>
        <w:t>стихийные</w:t>
      </w:r>
      <w:r>
        <w:t xml:space="preserve"> </w:t>
      </w:r>
      <w:r>
        <w:rPr>
          <w:rFonts w:ascii="Calibri" w:hAnsi="Calibri" w:cs="Calibri"/>
        </w:rPr>
        <w:t>бедствия</w:t>
      </w:r>
      <w:r>
        <w:t xml:space="preserve">, </w:t>
      </w:r>
      <w:r>
        <w:rPr>
          <w:rFonts w:ascii="Calibri" w:hAnsi="Calibri" w:cs="Calibri"/>
        </w:rPr>
        <w:t>действия</w:t>
      </w:r>
      <w:r>
        <w:t xml:space="preserve"> </w:t>
      </w:r>
      <w:r>
        <w:rPr>
          <w:rFonts w:ascii="Calibri" w:hAnsi="Calibri" w:cs="Calibri"/>
        </w:rPr>
        <w:t>третьих</w:t>
      </w:r>
      <w:r>
        <w:t xml:space="preserve"> </w:t>
      </w:r>
      <w:r>
        <w:rPr>
          <w:rFonts w:ascii="Calibri" w:hAnsi="Calibri" w:cs="Calibri"/>
        </w:rPr>
        <w:t>лиц</w:t>
      </w:r>
      <w:r>
        <w:t xml:space="preserve">, </w:t>
      </w:r>
      <w:r>
        <w:rPr>
          <w:rFonts w:ascii="Calibri" w:hAnsi="Calibri" w:cs="Calibri"/>
        </w:rPr>
        <w:t>отключения</w:t>
      </w:r>
      <w:r>
        <w:t xml:space="preserve"> </w:t>
      </w:r>
      <w:r>
        <w:rPr>
          <w:rFonts w:ascii="Calibri" w:hAnsi="Calibri" w:cs="Calibri"/>
        </w:rPr>
        <w:t>электроэнергии</w:t>
      </w:r>
      <w:r>
        <w:t xml:space="preserve"> </w:t>
      </w:r>
      <w:r>
        <w:rPr>
          <w:rFonts w:ascii="Calibri" w:hAnsi="Calibri" w:cs="Calibri"/>
        </w:rPr>
        <w:t>и</w:t>
      </w:r>
      <w:r>
        <w:t xml:space="preserve"> </w:t>
      </w:r>
      <w:r>
        <w:rPr>
          <w:rFonts w:ascii="Calibri" w:hAnsi="Calibri" w:cs="Calibri"/>
        </w:rPr>
        <w:t>т</w:t>
      </w:r>
      <w:r>
        <w:t>.</w:t>
      </w:r>
      <w:r>
        <w:rPr>
          <w:rFonts w:ascii="Calibri" w:hAnsi="Calibri" w:cs="Calibri"/>
        </w:rPr>
        <w:t> п</w:t>
      </w:r>
      <w:r>
        <w:t>.);</w:t>
      </w:r>
    </w:p>
    <w:p w:rsidR="00982838" w:rsidRDefault="00982838" w:rsidP="00982838">
      <w:proofErr w:type="gramStart"/>
      <w:r>
        <w:t>несанкционированное</w:t>
      </w:r>
      <w:proofErr w:type="gramEnd"/>
      <w:r>
        <w:t xml:space="preserve"> использование учётных данных Заказчика, если это произошло по вине Заказчика.</w:t>
      </w:r>
    </w:p>
    <w:p w:rsidR="00982838" w:rsidRDefault="00982838" w:rsidP="00982838"/>
    <w:p w:rsidR="00982838" w:rsidRDefault="00982838" w:rsidP="00982838">
      <w:r>
        <w:lastRenderedPageBreak/>
        <w:t>7. Порядок разрешения споров</w:t>
      </w:r>
    </w:p>
    <w:p w:rsidR="00982838" w:rsidRDefault="00982838" w:rsidP="00982838">
      <w:r>
        <w:t>7.1. Все споры и разногласия, возникающие из настоящего договора или в связи с ним, разрешаются путём переговоров между сторонами.</w:t>
      </w:r>
    </w:p>
    <w:p w:rsidR="00982838" w:rsidRDefault="00982838" w:rsidP="00982838">
      <w:r>
        <w:t>7.2. В случае невозможности разрешения споров путём переговоров они подлежат рассмотрению в суде в соответствии с действующим законодательством РФ по месту нахождения Исполнителя.</w:t>
      </w:r>
    </w:p>
    <w:p w:rsidR="00982838" w:rsidRDefault="00982838" w:rsidP="00982838">
      <w:r>
        <w:t>8. Прочие условия</w:t>
      </w:r>
    </w:p>
    <w:p w:rsidR="00982838" w:rsidRDefault="00982838" w:rsidP="00982838">
      <w:r>
        <w:t>8.1. Акцептом настоящего договора (принятием его условий) считается внесение Заказчиком оплаты за Услугу. Факт оплаты означает полное и безоговорочное принятие Заказчиком всех условий настоящей оферты.</w:t>
      </w:r>
    </w:p>
    <w:p w:rsidR="00982838" w:rsidRDefault="00982838" w:rsidP="00982838">
      <w:r>
        <w:t>8.2. Исполнитель вправе вносить изменения в условия настоящего договора. Изменения вступают в силу после их публикации на сайте Исполнителя и распространяются на отношения, возникшие с даты публикации.</w:t>
      </w:r>
    </w:p>
    <w:p w:rsidR="00982838" w:rsidRDefault="00982838" w:rsidP="00982838">
      <w:r>
        <w:t>8.3. Заказчик признаёт и соглашается, что все коммуникации с Исполнителем (уведомления, запросы, претензии и т. д.) могут осуществляться в электронной форме (через сайт Исполнителя, по электронной почте или через мобильное приложение) и имеют юридическую силу наравне с бумажными документами.</w:t>
      </w:r>
    </w:p>
    <w:p w:rsidR="00982838" w:rsidRDefault="00982838" w:rsidP="00982838"/>
    <w:p w:rsidR="00982838" w:rsidRDefault="00982838" w:rsidP="00982838">
      <w:r>
        <w:t>8.4. Реквизиты Исполнителя:</w:t>
      </w:r>
    </w:p>
    <w:p w:rsidR="007A76CE" w:rsidRDefault="007A76CE" w:rsidP="00982838"/>
    <w:p w:rsidR="007A76CE" w:rsidRPr="00F85FD7" w:rsidRDefault="007A76CE" w:rsidP="007A76CE">
      <w:pPr>
        <w:spacing w:after="7"/>
      </w:pPr>
      <w:r w:rsidRPr="00F85FD7">
        <w:t xml:space="preserve">Исполнитель </w:t>
      </w:r>
    </w:p>
    <w:p w:rsidR="007A76CE" w:rsidRPr="00F85FD7" w:rsidRDefault="007A76CE" w:rsidP="007A76CE">
      <w:pPr>
        <w:spacing w:after="13"/>
      </w:pPr>
      <w:r w:rsidRPr="00F85FD7">
        <w:rPr>
          <w:b/>
        </w:rPr>
        <w:t>ООО ТЦ «Территория безопасности»</w:t>
      </w:r>
      <w:r w:rsidRPr="00F85FD7">
        <w:rPr>
          <w:b/>
          <w:sz w:val="24"/>
        </w:rPr>
        <w:t xml:space="preserve"> </w:t>
      </w:r>
    </w:p>
    <w:p w:rsidR="007A76CE" w:rsidRPr="00F85FD7" w:rsidRDefault="007A76CE" w:rsidP="007A76CE">
      <w:pPr>
        <w:spacing w:after="15"/>
      </w:pPr>
      <w:r>
        <w:t>Юридический а</w:t>
      </w:r>
      <w:r w:rsidRPr="00F85FD7">
        <w:t xml:space="preserve">дрес: 123317, РФ, г. Москва, </w:t>
      </w:r>
      <w:proofErr w:type="spellStart"/>
      <w:r w:rsidRPr="00F85FD7">
        <w:t>Стрельбищенский</w:t>
      </w:r>
      <w:proofErr w:type="spellEnd"/>
      <w:r w:rsidRPr="00F85FD7">
        <w:t xml:space="preserve"> пер, д.18а пом.68</w:t>
      </w:r>
      <w:r w:rsidRPr="00F85FD7">
        <w:rPr>
          <w:sz w:val="24"/>
        </w:rPr>
        <w:t xml:space="preserve"> </w:t>
      </w:r>
    </w:p>
    <w:p w:rsidR="007A76CE" w:rsidRPr="00F85FD7" w:rsidRDefault="007A76CE" w:rsidP="007A76CE">
      <w:pPr>
        <w:spacing w:after="18"/>
      </w:pPr>
      <w:r w:rsidRPr="00F85FD7">
        <w:t>ИНН 7703212509, КПП 770301001</w:t>
      </w:r>
      <w:r w:rsidRPr="00F85FD7">
        <w:rPr>
          <w:sz w:val="24"/>
        </w:rPr>
        <w:t xml:space="preserve"> </w:t>
      </w:r>
    </w:p>
    <w:p w:rsidR="007A76CE" w:rsidRDefault="007A76CE" w:rsidP="007A76CE">
      <w:pPr>
        <w:spacing w:after="1" w:line="272" w:lineRule="auto"/>
        <w:ind w:right="6686"/>
      </w:pPr>
      <w:r w:rsidRPr="00F85FD7">
        <w:t xml:space="preserve">Р/с </w:t>
      </w:r>
      <w:r>
        <w:t>№</w:t>
      </w:r>
      <w:r>
        <w:rPr>
          <w:sz w:val="24"/>
        </w:rPr>
        <w:t xml:space="preserve">    </w:t>
      </w:r>
      <w:r>
        <w:t>40702810700000329631</w:t>
      </w:r>
    </w:p>
    <w:p w:rsidR="007A76CE" w:rsidRDefault="007A76CE" w:rsidP="007A76CE">
      <w:pPr>
        <w:spacing w:after="1" w:line="272" w:lineRule="auto"/>
        <w:ind w:right="6686"/>
      </w:pPr>
      <w:r>
        <w:rPr>
          <w:sz w:val="24"/>
        </w:rPr>
        <w:t>П</w:t>
      </w:r>
      <w:r>
        <w:t>АО "ПРОМСВЯЗЬБАНК</w:t>
      </w:r>
      <w:r w:rsidRPr="00F85FD7">
        <w:t xml:space="preserve">" </w:t>
      </w:r>
    </w:p>
    <w:p w:rsidR="007A76CE" w:rsidRDefault="007A76CE" w:rsidP="007A76CE">
      <w:pPr>
        <w:spacing w:after="1" w:line="272" w:lineRule="auto"/>
        <w:ind w:right="6686"/>
        <w:rPr>
          <w:sz w:val="24"/>
        </w:rPr>
      </w:pPr>
      <w:r w:rsidRPr="00F85FD7">
        <w:t>г. Москва</w:t>
      </w:r>
      <w:r w:rsidRPr="00F85FD7">
        <w:rPr>
          <w:sz w:val="24"/>
        </w:rPr>
        <w:t xml:space="preserve"> </w:t>
      </w:r>
    </w:p>
    <w:p w:rsidR="007A76CE" w:rsidRPr="00F85FD7" w:rsidRDefault="007A76CE" w:rsidP="007A76CE">
      <w:pPr>
        <w:spacing w:after="1" w:line="272" w:lineRule="auto"/>
        <w:ind w:right="6686"/>
      </w:pPr>
      <w:proofErr w:type="gramStart"/>
      <w:r>
        <w:t>к</w:t>
      </w:r>
      <w:proofErr w:type="gramEnd"/>
      <w:r>
        <w:t xml:space="preserve">/с </w:t>
      </w:r>
      <w:bookmarkStart w:id="0" w:name="_GoBack"/>
      <w:bookmarkEnd w:id="0"/>
      <w:r>
        <w:t>№30101810400000000555</w:t>
      </w:r>
      <w:r w:rsidRPr="00F85FD7">
        <w:rPr>
          <w:sz w:val="24"/>
        </w:rPr>
        <w:t xml:space="preserve"> </w:t>
      </w:r>
    </w:p>
    <w:p w:rsidR="007A76CE" w:rsidRPr="00AA5A05" w:rsidRDefault="007A76CE" w:rsidP="007A76CE">
      <w:pPr>
        <w:spacing w:after="0"/>
      </w:pPr>
      <w:r>
        <w:t>БИК 044525555</w:t>
      </w:r>
      <w:r w:rsidRPr="00AA5A05">
        <w:rPr>
          <w:sz w:val="24"/>
        </w:rPr>
        <w:t xml:space="preserve"> </w:t>
      </w:r>
    </w:p>
    <w:p w:rsidR="00982838" w:rsidRDefault="007A76CE" w:rsidP="007A76CE">
      <w:r w:rsidRPr="00AA5A05">
        <w:t xml:space="preserve">Телефон: (495) </w:t>
      </w:r>
      <w:r w:rsidRPr="00D833F7">
        <w:t>741-31-64</w:t>
      </w:r>
    </w:p>
    <w:sectPr w:rsidR="00982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9A"/>
    <w:rsid w:val="00096915"/>
    <w:rsid w:val="001F543E"/>
    <w:rsid w:val="007A76CE"/>
    <w:rsid w:val="007B2EB3"/>
    <w:rsid w:val="00982838"/>
    <w:rsid w:val="00C20BE4"/>
    <w:rsid w:val="00D40674"/>
    <w:rsid w:val="00F95938"/>
    <w:rsid w:val="00FA7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19C9A-213B-421B-BA06-7386E3FF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A76CE"/>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Вадим_</cp:lastModifiedBy>
  <cp:revision>4</cp:revision>
  <dcterms:created xsi:type="dcterms:W3CDTF">2026-03-19T10:07:00Z</dcterms:created>
  <dcterms:modified xsi:type="dcterms:W3CDTF">2026-03-29T06:21:00Z</dcterms:modified>
</cp:coreProperties>
</file>